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3" w:rsidRPr="004069A3" w:rsidRDefault="004069A3" w:rsidP="004069A3">
      <w:pPr>
        <w:shd w:val="clear" w:color="auto" w:fill="FFFFFF"/>
        <w:spacing w:after="240" w:line="343" w:lineRule="atLeast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Согласно </w:t>
      </w:r>
      <w:hyperlink r:id="rId5" w:history="1">
        <w:r w:rsidRPr="004069A3">
          <w:rPr>
            <w:rFonts w:ascii="Arial" w:eastAsia="Times New Roman" w:hAnsi="Arial" w:cs="Arial"/>
            <w:b w:val="0"/>
            <w:color w:val="FF0000"/>
            <w:u w:val="none"/>
            <w:shd w:val="clear" w:color="auto" w:fill="auto"/>
          </w:rPr>
          <w:t>девятой версии</w:t>
        </w:r>
      </w:hyperlink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 временных рекомендаций Минздрава по диагностике и лечению COVID-19, амбулаторное лечение могут проходить пациенты с легким течением инфекции, взрослые со среднетяжелым течением при отсутствии факторов риска.</w:t>
      </w:r>
    </w:p>
    <w:p w:rsidR="004069A3" w:rsidRPr="004069A3" w:rsidRDefault="004069A3" w:rsidP="004069A3">
      <w:pPr>
        <w:shd w:val="clear" w:color="auto" w:fill="FFFFFF"/>
        <w:spacing w:after="240" w:line="343" w:lineRule="atLeast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Cs/>
          <w:u w:val="none"/>
          <w:shd w:val="clear" w:color="auto" w:fill="auto"/>
        </w:rPr>
        <w:t>Принципы и схемы терапии:</w:t>
      </w:r>
    </w:p>
    <w:p w:rsidR="004069A3" w:rsidRPr="004069A3" w:rsidRDefault="004069A3" w:rsidP="0040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Для лечения COVID-19 могут быть использованы пять препаратов: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фавипиравир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,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ремдесивир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,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умифеновир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,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гидроксихлорохин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(с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азитромицином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или без него) и интерферон-альфа.</w:t>
      </w:r>
    </w:p>
    <w:p w:rsidR="004069A3" w:rsidRPr="004069A3" w:rsidRDefault="004069A3" w:rsidP="0040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Применение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ремдесивира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возможно только в стационаре.</w:t>
      </w:r>
    </w:p>
    <w:p w:rsidR="004069A3" w:rsidRPr="004069A3" w:rsidRDefault="004069A3" w:rsidP="0040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Ремдесивир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следует использовать при сатурации 94% и ниже, когда требуется кислород, проведение ИВЛ или ЭКМО.</w:t>
      </w:r>
    </w:p>
    <w:p w:rsidR="004069A3" w:rsidRPr="004069A3" w:rsidRDefault="004069A3" w:rsidP="0040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До подтверждения диагноза в лечении легких форм Минздрав по-прежнему рекомендует препараты для лечения сезонных ОРВИ: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интраназальный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интерферон-альфа, индукторы интерферона, противовирусные препараты с широким спектром активности.</w:t>
      </w:r>
    </w:p>
    <w:p w:rsidR="004069A3" w:rsidRPr="004069A3" w:rsidRDefault="004069A3" w:rsidP="0040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В амбулаторных условиях профилактические дозы низкомолекулярного гепарина или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нефракционированный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гепарин должны получать пациенты: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с ограниченной подвижностью,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ТГВ/ТЭЛА в анамнезе,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злокачественным новообразованием,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крупной операцией или травмой в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предшествуюший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месяц,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тромбофилией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старше 70 лет,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сердечной, дыхательной недостаточностью,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ожирением,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системным заболеванием соединительной ткани,</w:t>
      </w:r>
    </w:p>
    <w:p w:rsidR="004069A3" w:rsidRPr="004069A3" w:rsidRDefault="004069A3" w:rsidP="004069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proofErr w:type="gram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получающие</w:t>
      </w:r>
      <w:proofErr w:type="gram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гормональную заместительную терапию или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пероральные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контрацептивы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.</w:t>
      </w:r>
    </w:p>
    <w:p w:rsidR="004069A3" w:rsidRPr="004069A3" w:rsidRDefault="004069A3" w:rsidP="0040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В схемы лечения амбулаторных пациентов могут быть включены прямые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пероральные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антикоагулянты: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апиксабан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или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ривароксабан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.</w:t>
      </w:r>
    </w:p>
    <w:p w:rsidR="004069A3" w:rsidRPr="004069A3" w:rsidRDefault="004069A3" w:rsidP="0040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При наличии признаков бактериальной суперинфекции в схему лечения на 5—10 дней включают один из антибиотиков: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амоксициллин+клавулановая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 кислота,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амоксициллин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,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азитромицин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,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левофлоксацин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,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моксифлоксацин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 xml:space="preserve">, </w:t>
      </w:r>
      <w:proofErr w:type="spellStart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кларитромицин</w:t>
      </w:r>
      <w:proofErr w:type="spellEnd"/>
      <w:r w:rsidRPr="004069A3">
        <w:rPr>
          <w:rFonts w:ascii="Arial" w:eastAsia="Times New Roman" w:hAnsi="Arial" w:cs="Arial"/>
          <w:b w:val="0"/>
          <w:u w:val="none"/>
          <w:shd w:val="clear" w:color="auto" w:fill="auto"/>
        </w:rPr>
        <w:t>.</w:t>
      </w:r>
    </w:p>
    <w:p w:rsidR="004069A3" w:rsidRPr="004069A3" w:rsidRDefault="004069A3" w:rsidP="004069A3">
      <w:pPr>
        <w:shd w:val="clear" w:color="auto" w:fill="FFFFFF"/>
        <w:spacing w:after="240" w:line="343" w:lineRule="atLeast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Cs/>
          <w:u w:val="none"/>
          <w:shd w:val="clear" w:color="auto" w:fill="auto"/>
        </w:rPr>
        <w:t>Таблица 1. Схемы лечения COVID-19 в амбулаторных условиях</w:t>
      </w:r>
    </w:p>
    <w:tbl>
      <w:tblPr>
        <w:tblW w:w="5000" w:type="pct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7383"/>
      </w:tblGrid>
      <w:tr w:rsidR="004069A3" w:rsidRPr="004069A3" w:rsidTr="004069A3">
        <w:tc>
          <w:tcPr>
            <w:tcW w:w="1200" w:type="pct"/>
            <w:tcBorders>
              <w:top w:val="nil"/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Легкое течение</w:t>
            </w:r>
          </w:p>
        </w:tc>
        <w:tc>
          <w:tcPr>
            <w:tcW w:w="3750" w:type="pct"/>
            <w:tcBorders>
              <w:top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фавипиравир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гидроксихлорохин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умифеновир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2. ИФ</w:t>
            </w:r>
            <w:proofErr w:type="gram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Н-</w:t>
            </w:r>
            <w:proofErr w:type="gram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α,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интраназальные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формы</w:t>
            </w:r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3. парацетамол</w:t>
            </w:r>
          </w:p>
        </w:tc>
      </w:tr>
      <w:tr w:rsidR="004069A3" w:rsidRPr="004069A3" w:rsidTr="004069A3">
        <w:tc>
          <w:tcPr>
            <w:tcW w:w="1200" w:type="pc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Среднетяжелые формы (без пневмонии)</w:t>
            </w:r>
          </w:p>
        </w:tc>
        <w:tc>
          <w:tcPr>
            <w:tcW w:w="3750" w:type="pct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фавипиравир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гидроксихлорохин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lastRenderedPageBreak/>
              <w:t>2. ИФ</w:t>
            </w:r>
            <w:proofErr w:type="gram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Н-</w:t>
            </w:r>
            <w:proofErr w:type="gram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α,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интраназальные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формы</w:t>
            </w:r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3. парацетамол</w:t>
            </w:r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4.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ривароксабан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апиксабан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(при наличии факторов риска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тромбообразования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)</w:t>
            </w:r>
          </w:p>
        </w:tc>
      </w:tr>
      <w:tr w:rsidR="004069A3" w:rsidRPr="004069A3" w:rsidTr="004069A3">
        <w:tc>
          <w:tcPr>
            <w:tcW w:w="1200" w:type="pc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lastRenderedPageBreak/>
              <w:t>Среднетяжелые формы (с пневмонией)</w:t>
            </w:r>
          </w:p>
        </w:tc>
        <w:tc>
          <w:tcPr>
            <w:tcW w:w="3750" w:type="pct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фавипиравир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гидроксихлорохин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2.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ривароксабан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апиксабан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(при наличии факторов риска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тромбообразования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)</w:t>
            </w:r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3.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дексаметазон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преднизолон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метилпреднизолон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по показаниям</w:t>
            </w:r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4. ИФ</w:t>
            </w:r>
            <w:proofErr w:type="gram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Н-</w:t>
            </w:r>
            <w:proofErr w:type="gram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α,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интраназальные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формы</w:t>
            </w:r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5. парацетамол</w:t>
            </w:r>
          </w:p>
        </w:tc>
      </w:tr>
    </w:tbl>
    <w:p w:rsidR="004069A3" w:rsidRPr="004069A3" w:rsidRDefault="004069A3" w:rsidP="004069A3">
      <w:pPr>
        <w:shd w:val="clear" w:color="auto" w:fill="FFFFFF"/>
        <w:spacing w:after="240" w:line="343" w:lineRule="atLeast"/>
        <w:rPr>
          <w:rFonts w:ascii="Arial" w:eastAsia="Times New Roman" w:hAnsi="Arial" w:cs="Arial"/>
          <w:b w:val="0"/>
          <w:u w:val="none"/>
          <w:shd w:val="clear" w:color="auto" w:fill="auto"/>
        </w:rPr>
      </w:pPr>
      <w:r w:rsidRPr="004069A3">
        <w:rPr>
          <w:rFonts w:ascii="Arial" w:eastAsia="Times New Roman" w:hAnsi="Arial" w:cs="Arial"/>
          <w:bCs/>
          <w:u w:val="none"/>
          <w:shd w:val="clear" w:color="auto" w:fill="auto"/>
        </w:rPr>
        <w:t>Таблица 2. Схемы лечения COVID-19 в условиях стационара</w:t>
      </w:r>
    </w:p>
    <w:tbl>
      <w:tblPr>
        <w:tblW w:w="5000" w:type="pct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7383"/>
      </w:tblGrid>
      <w:tr w:rsidR="004069A3" w:rsidRPr="004069A3" w:rsidTr="004069A3">
        <w:tc>
          <w:tcPr>
            <w:tcW w:w="1200" w:type="pct"/>
            <w:tcBorders>
              <w:top w:val="nil"/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Легкие формы</w:t>
            </w:r>
          </w:p>
        </w:tc>
        <w:tc>
          <w:tcPr>
            <w:tcW w:w="3750" w:type="pct"/>
            <w:tcBorders>
              <w:top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фавипиравир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гидроксихлорохин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умифеновир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2. ИФ</w:t>
            </w:r>
            <w:proofErr w:type="gram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Н-</w:t>
            </w:r>
            <w:proofErr w:type="gram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α,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интраназальные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формы</w:t>
            </w:r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3.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антикоагулянтный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препарат</w:t>
            </w:r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4. НПВП по показаниям</w:t>
            </w:r>
          </w:p>
        </w:tc>
      </w:tr>
      <w:tr w:rsidR="004069A3" w:rsidRPr="004069A3" w:rsidTr="004069A3">
        <w:tc>
          <w:tcPr>
            <w:tcW w:w="1200" w:type="pct"/>
            <w:vMerge w:val="restar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Среднетяжелые формы</w:t>
            </w:r>
          </w:p>
        </w:tc>
        <w:tc>
          <w:tcPr>
            <w:tcW w:w="3750" w:type="pct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фавипиравир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ремдесивир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гидроксихлорохин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2.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барицитиниб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тофацитиниб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3.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антикоагулянтный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препарат</w:t>
            </w:r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4. НПВП по показаниям</w:t>
            </w:r>
          </w:p>
        </w:tc>
      </w:tr>
      <w:tr w:rsidR="004069A3" w:rsidRPr="004069A3" w:rsidTr="004069A3"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4069A3" w:rsidRPr="004069A3" w:rsidRDefault="004069A3" w:rsidP="004069A3">
            <w:pPr>
              <w:spacing w:line="240" w:lineRule="auto"/>
              <w:rPr>
                <w:rFonts w:eastAsia="Times New Roman"/>
                <w:b w:val="0"/>
                <w:u w:val="none"/>
                <w:shd w:val="clear" w:color="auto" w:fill="auto"/>
              </w:rPr>
            </w:pPr>
          </w:p>
        </w:tc>
        <w:tc>
          <w:tcPr>
            <w:tcW w:w="3750" w:type="pc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фавипиравир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ремдесивир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гидроксихлорохин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2.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олокизумаб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левилимаб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3.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антикоагулянтный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препарат</w:t>
            </w:r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4. НПВП по показаниям</w:t>
            </w:r>
          </w:p>
        </w:tc>
      </w:tr>
      <w:tr w:rsidR="004069A3" w:rsidRPr="004069A3" w:rsidTr="004069A3"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4069A3" w:rsidRPr="004069A3" w:rsidRDefault="004069A3" w:rsidP="004069A3">
            <w:pPr>
              <w:spacing w:line="240" w:lineRule="auto"/>
              <w:rPr>
                <w:rFonts w:eastAsia="Times New Roman"/>
                <w:b w:val="0"/>
                <w:u w:val="none"/>
                <w:shd w:val="clear" w:color="auto" w:fill="auto"/>
              </w:rPr>
            </w:pPr>
          </w:p>
        </w:tc>
        <w:tc>
          <w:tcPr>
            <w:tcW w:w="3750" w:type="pc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При лихорадке выше 38°C более трех дней в схемы включается антибиотик</w:t>
            </w:r>
          </w:p>
        </w:tc>
      </w:tr>
      <w:tr w:rsidR="004069A3" w:rsidRPr="004069A3" w:rsidTr="004069A3">
        <w:tc>
          <w:tcPr>
            <w:tcW w:w="1200" w:type="pct"/>
            <w:vMerge w:val="restar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Тяжелые формы (пневмония с дыхательной недостаточностью и ОРДС)</w:t>
            </w:r>
          </w:p>
        </w:tc>
        <w:tc>
          <w:tcPr>
            <w:tcW w:w="3750" w:type="pct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фавипиравир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2.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тоцилизумаб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сарилумаб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3.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антикоагулянтный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препарат</w:t>
            </w:r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4. НПВП по показаниям</w:t>
            </w:r>
          </w:p>
        </w:tc>
      </w:tr>
      <w:tr w:rsidR="004069A3" w:rsidRPr="004069A3" w:rsidTr="004069A3"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4069A3" w:rsidRPr="004069A3" w:rsidRDefault="004069A3" w:rsidP="004069A3">
            <w:pPr>
              <w:spacing w:line="240" w:lineRule="auto"/>
              <w:rPr>
                <w:rFonts w:eastAsia="Times New Roman"/>
                <w:b w:val="0"/>
                <w:u w:val="none"/>
                <w:shd w:val="clear" w:color="auto" w:fill="auto"/>
              </w:rPr>
            </w:pPr>
          </w:p>
        </w:tc>
        <w:tc>
          <w:tcPr>
            <w:tcW w:w="3750" w:type="pc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При лихорадке выше 38°C более трех дней в схемы включается антибактериальная терапия</w:t>
            </w:r>
          </w:p>
        </w:tc>
      </w:tr>
      <w:tr w:rsidR="004069A3" w:rsidRPr="004069A3" w:rsidTr="004069A3">
        <w:tc>
          <w:tcPr>
            <w:tcW w:w="1200" w:type="pct"/>
            <w:vMerge w:val="restar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Цитокиновый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шторм</w:t>
            </w:r>
          </w:p>
        </w:tc>
        <w:tc>
          <w:tcPr>
            <w:tcW w:w="3750" w:type="pct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метилпреднизолон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/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дексаметазон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2.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тоцилизумаб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сарилумаб</w:t>
            </w:r>
            <w:proofErr w:type="spellEnd"/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3.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антикоагулянтный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препарат</w:t>
            </w:r>
          </w:p>
        </w:tc>
      </w:tr>
      <w:tr w:rsidR="004069A3" w:rsidRPr="004069A3" w:rsidTr="004069A3"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4069A3" w:rsidRPr="004069A3" w:rsidRDefault="004069A3" w:rsidP="004069A3">
            <w:pPr>
              <w:spacing w:line="240" w:lineRule="auto"/>
              <w:rPr>
                <w:rFonts w:eastAsia="Times New Roman"/>
                <w:b w:val="0"/>
                <w:u w:val="none"/>
                <w:shd w:val="clear" w:color="auto" w:fill="auto"/>
              </w:rPr>
            </w:pPr>
          </w:p>
        </w:tc>
        <w:tc>
          <w:tcPr>
            <w:tcW w:w="3750" w:type="pc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метилпреднизолон</w:t>
            </w:r>
            <w:proofErr w:type="spellEnd"/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2.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канакинумаб</w:t>
            </w:r>
            <w:proofErr w:type="spellEnd"/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3.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антикоагулянтный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препарат</w:t>
            </w:r>
          </w:p>
        </w:tc>
      </w:tr>
      <w:tr w:rsidR="004069A3" w:rsidRPr="004069A3" w:rsidTr="004069A3"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4069A3" w:rsidRPr="004069A3" w:rsidRDefault="004069A3" w:rsidP="004069A3">
            <w:pPr>
              <w:spacing w:line="240" w:lineRule="auto"/>
              <w:rPr>
                <w:rFonts w:eastAsia="Times New Roman"/>
                <w:b w:val="0"/>
                <w:u w:val="none"/>
                <w:shd w:val="clear" w:color="auto" w:fill="auto"/>
              </w:rPr>
            </w:pPr>
          </w:p>
        </w:tc>
        <w:tc>
          <w:tcPr>
            <w:tcW w:w="3750" w:type="pc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При наличии противопоказаний к применению генно-инженерных биологических препаратов:</w:t>
            </w:r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метилпреднизолон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дексаметазон</w:t>
            </w:r>
            <w:proofErr w:type="spellEnd"/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2.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антикоагулянтный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препарат</w:t>
            </w:r>
          </w:p>
        </w:tc>
      </w:tr>
      <w:tr w:rsidR="004069A3" w:rsidRPr="004069A3" w:rsidTr="004069A3"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4069A3" w:rsidRPr="004069A3" w:rsidRDefault="004069A3" w:rsidP="004069A3">
            <w:pPr>
              <w:spacing w:line="240" w:lineRule="auto"/>
              <w:rPr>
                <w:rFonts w:eastAsia="Times New Roman"/>
                <w:b w:val="0"/>
                <w:u w:val="none"/>
                <w:shd w:val="clear" w:color="auto" w:fill="auto"/>
              </w:rPr>
            </w:pPr>
          </w:p>
        </w:tc>
        <w:tc>
          <w:tcPr>
            <w:tcW w:w="3750" w:type="pct"/>
            <w:tcBorders>
              <w:lef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При наличии противопоказаний к применению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глюкокортикоидов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:</w:t>
            </w:r>
          </w:p>
          <w:p w:rsidR="004069A3" w:rsidRPr="004069A3" w:rsidRDefault="004069A3" w:rsidP="004069A3">
            <w:pPr>
              <w:spacing w:after="240"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1.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тоцилизумаб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сарилумаб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или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канакинумаб</w:t>
            </w:r>
            <w:proofErr w:type="spellEnd"/>
          </w:p>
          <w:p w:rsidR="004069A3" w:rsidRPr="004069A3" w:rsidRDefault="004069A3" w:rsidP="004069A3">
            <w:pPr>
              <w:spacing w:line="343" w:lineRule="atLeast"/>
              <w:rPr>
                <w:rFonts w:eastAsia="Times New Roman"/>
                <w:b w:val="0"/>
                <w:u w:val="none"/>
                <w:shd w:val="clear" w:color="auto" w:fill="auto"/>
              </w:rPr>
            </w:pPr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2. </w:t>
            </w:r>
            <w:proofErr w:type="spellStart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>антикоагулянтный</w:t>
            </w:r>
            <w:proofErr w:type="spellEnd"/>
            <w:r w:rsidRPr="004069A3">
              <w:rPr>
                <w:rFonts w:eastAsia="Times New Roman"/>
                <w:b w:val="0"/>
                <w:u w:val="none"/>
                <w:shd w:val="clear" w:color="auto" w:fill="auto"/>
              </w:rPr>
              <w:t xml:space="preserve"> препарат</w:t>
            </w:r>
          </w:p>
        </w:tc>
      </w:tr>
    </w:tbl>
    <w:p w:rsidR="00D47267" w:rsidRDefault="00D47267"/>
    <w:sectPr w:rsidR="00D47267" w:rsidSect="00D4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0873"/>
    <w:multiLevelType w:val="multilevel"/>
    <w:tmpl w:val="6326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069A3"/>
    <w:rsid w:val="004069A3"/>
    <w:rsid w:val="00CC2FD6"/>
    <w:rsid w:val="00D47267"/>
    <w:rsid w:val="00E6278D"/>
    <w:rsid w:val="00F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8D"/>
    <w:pPr>
      <w:spacing w:after="0" w:line="360" w:lineRule="auto"/>
    </w:pPr>
    <w:rPr>
      <w:b/>
      <w:u w:val="single"/>
      <w:shd w:val="clear" w:color="auto" w:fill="F0F0F0"/>
      <w:lang w:eastAsia="ru-RU"/>
    </w:rPr>
  </w:style>
  <w:style w:type="paragraph" w:styleId="1">
    <w:name w:val="heading 1"/>
    <w:basedOn w:val="a"/>
    <w:next w:val="a"/>
    <w:link w:val="10"/>
    <w:qFormat/>
    <w:rsid w:val="00E6278D"/>
    <w:pPr>
      <w:keepNext/>
      <w:jc w:val="center"/>
      <w:outlineLvl w:val="0"/>
    </w:pPr>
    <w:rPr>
      <w:rFonts w:ascii="Tahoma" w:eastAsia="Times New Roman" w:hAnsi="Tahoma"/>
      <w:sz w:val="2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8D"/>
    <w:rPr>
      <w:rFonts w:ascii="Tahoma" w:eastAsia="Times New Roman" w:hAnsi="Tahoma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69A3"/>
    <w:pPr>
      <w:spacing w:before="100" w:beforeAutospacing="1" w:after="100" w:afterAutospacing="1" w:line="240" w:lineRule="auto"/>
    </w:pPr>
    <w:rPr>
      <w:rFonts w:eastAsia="Times New Roman"/>
      <w:b w:val="0"/>
      <w:u w:val="none"/>
      <w:shd w:val="clear" w:color="auto" w:fill="auto"/>
    </w:rPr>
  </w:style>
  <w:style w:type="character" w:styleId="a4">
    <w:name w:val="Hyperlink"/>
    <w:basedOn w:val="a0"/>
    <w:uiPriority w:val="99"/>
    <w:semiHidden/>
    <w:unhideWhenUsed/>
    <w:rsid w:val="004069A3"/>
    <w:rPr>
      <w:color w:val="0000FF"/>
      <w:u w:val="single"/>
    </w:rPr>
  </w:style>
  <w:style w:type="character" w:styleId="a5">
    <w:name w:val="Strong"/>
    <w:basedOn w:val="a0"/>
    <w:uiPriority w:val="22"/>
    <w:qFormat/>
    <w:rsid w:val="00406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vestnik.ru/content/documents/9-ot-26-10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С. Кусатов</dc:creator>
  <cp:lastModifiedBy>Степан С. Кусатов</cp:lastModifiedBy>
  <cp:revision>2</cp:revision>
  <cp:lastPrinted>2020-11-11T02:58:00Z</cp:lastPrinted>
  <dcterms:created xsi:type="dcterms:W3CDTF">2020-11-11T02:58:00Z</dcterms:created>
  <dcterms:modified xsi:type="dcterms:W3CDTF">2020-11-11T02:58:00Z</dcterms:modified>
</cp:coreProperties>
</file>